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center"/>
        <w:rPr>
          <w:b/>
          <w:sz w:val="32"/>
          <w:lang w:eastAsia="pt-BR"/>
        </w:rPr>
      </w:pPr>
      <w:r>
        <w:rPr>
          <w:b/>
          <w:sz w:val="32"/>
          <w:lang w:eastAsia="pt-BR"/>
        </w:rPr>
        <w:t xml:space="preserve">EDITAL INTERNO N° </w:t>
      </w:r>
      <w:r>
        <w:rPr>
          <w:b/>
          <w:sz w:val="32"/>
          <w:lang w:eastAsia="pt-BR"/>
        </w:rPr>
        <w:t>01</w:t>
      </w:r>
      <w:r>
        <w:rPr>
          <w:b/>
          <w:sz w:val="32"/>
          <w:lang w:eastAsia="pt-BR"/>
        </w:rPr>
        <w:t>/2015 - CETENS</w:t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sz w:val="32"/>
          <w:szCs w:val="23"/>
          <w:lang w:eastAsia="pt-BR"/>
        </w:rPr>
      </w:pPr>
      <w:r>
        <w:rPr>
          <w:b/>
          <w:sz w:val="32"/>
          <w:szCs w:val="23"/>
          <w:lang w:eastAsia="pt-BR"/>
        </w:rPr>
        <w:t>PROGRAMA DE MONITORIA REMUNERADA E VOLUNTÁRIA</w:t>
      </w:r>
    </w:p>
    <w:p>
      <w:pPr>
        <w:pStyle w:val="style0"/>
        <w:spacing w:after="120" w:before="0" w:line="100" w:lineRule="atLeast"/>
        <w:contextualSpacing w:val="false"/>
        <w:jc w:val="center"/>
        <w:rPr>
          <w:b/>
          <w:sz w:val="32"/>
          <w:szCs w:val="23"/>
          <w:lang w:eastAsia="pt-BR"/>
        </w:rPr>
      </w:pPr>
      <w:r>
        <w:rPr>
          <w:b/>
          <w:sz w:val="32"/>
          <w:szCs w:val="23"/>
          <w:lang w:eastAsia="pt-BR"/>
        </w:rPr>
        <w:t>PROCESSO SELETIVO</w:t>
      </w:r>
    </w:p>
    <w:p>
      <w:pPr>
        <w:pStyle w:val="style0"/>
        <w:rPr>
          <w:lang w:eastAsia="pt-BR"/>
        </w:rPr>
      </w:pPr>
      <w:r>
        <w:rPr>
          <w:lang w:eastAsia="pt-BR"/>
        </w:rPr>
        <w:t xml:space="preserve">O Centro de Ciência e Tecnologia em Energia e Sustentabilidade da Universidade Federal do Recôncavo da Bahia, no uso de suas atribuições legais e estatutárias, de acordo com o disposto na </w:t>
      </w:r>
      <w:hyperlink r:id="rId2">
        <w:r>
          <w:rPr>
            <w:rStyle w:val="style19"/>
            <w:lang w:eastAsia="pt-BR"/>
          </w:rPr>
          <w:t>Resolução</w:t>
        </w:r>
      </w:hyperlink>
      <w:r>
        <w:rPr>
          <w:lang w:eastAsia="pt-BR"/>
        </w:rPr>
        <w:t xml:space="preserve"> </w:t>
      </w:r>
      <w:r>
        <w:rPr>
          <w:b/>
          <w:lang w:eastAsia="pt-BR"/>
        </w:rPr>
        <w:t>CONAC nº 007/2011</w:t>
      </w:r>
      <w:r>
        <w:rPr>
          <w:lang w:eastAsia="pt-BR"/>
        </w:rPr>
        <w:t xml:space="preserve">, que dispõe sobre a alteração da </w:t>
      </w:r>
      <w:hyperlink r:id="rId3">
        <w:r>
          <w:rPr>
            <w:rStyle w:val="style19"/>
            <w:lang w:eastAsia="pt-BR"/>
          </w:rPr>
          <w:t>Resolução</w:t>
        </w:r>
      </w:hyperlink>
      <w:r>
        <w:rPr>
          <w:lang w:eastAsia="pt-BR"/>
        </w:rPr>
        <w:t xml:space="preserve"> </w:t>
      </w:r>
      <w:r>
        <w:rPr>
          <w:b/>
          <w:lang w:eastAsia="pt-BR"/>
        </w:rPr>
        <w:t>CONAC nº 036/2010</w:t>
      </w:r>
      <w:r>
        <w:rPr>
          <w:lang w:eastAsia="pt-BR"/>
        </w:rPr>
        <w:t xml:space="preserve">, que trata da reformulação da </w:t>
      </w:r>
      <w:hyperlink r:id="rId4">
        <w:r>
          <w:rPr>
            <w:rStyle w:val="style19"/>
            <w:lang w:eastAsia="pt-BR"/>
          </w:rPr>
          <w:t>Resolução</w:t>
        </w:r>
      </w:hyperlink>
      <w:r>
        <w:rPr>
          <w:lang w:eastAsia="pt-BR"/>
        </w:rPr>
        <w:t xml:space="preserve"> </w:t>
      </w:r>
      <w:r>
        <w:rPr>
          <w:b/>
          <w:lang w:eastAsia="pt-BR"/>
        </w:rPr>
        <w:t>CONAC nº 007/2008</w:t>
      </w:r>
      <w:r>
        <w:rPr>
          <w:lang w:eastAsia="pt-BR"/>
        </w:rPr>
        <w:t>, que institui o Programa de Monitoria da Graduação da Universidade Federal do Recôncavo da Bahia, torna público que estarão abertas inscrições para seleção de estudante para o programa de monitoria remunerada e voluntária  no período letivo do primeiro semestre de 2015.</w:t>
      </w:r>
    </w:p>
    <w:p>
      <w:pPr>
        <w:pStyle w:val="style32"/>
        <w:numPr>
          <w:ilvl w:val="0"/>
          <w:numId w:val="1"/>
        </w:numPr>
        <w:rPr>
          <w:b/>
          <w:lang w:eastAsia="pt-BR"/>
        </w:rPr>
      </w:pPr>
      <w:r>
        <w:rPr>
          <w:b/>
          <w:lang w:eastAsia="pt-BR"/>
        </w:rPr>
        <w:t>Dos objetivos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O Programa de Monitoria tem como objetivos: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Oportunizar ao discente iniciação na atividade de docência, despertando o interesse pela carreira docente.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Auxiliar os professores orientadores no desenvolvimento e aperfeiçoamento das atividades didático-pedagógicas.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Auxiliar complementarmente na adoção da interdisciplinaridade na UFRB como princípio epistemológico.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Permitir ao discente ampliação do seu conhecimento na área em que está envolvido.</w:t>
      </w:r>
    </w:p>
    <w:p>
      <w:pPr>
        <w:pStyle w:val="style32"/>
        <w:numPr>
          <w:ilvl w:val="0"/>
          <w:numId w:val="1"/>
        </w:numPr>
        <w:rPr>
          <w:b/>
          <w:lang w:eastAsia="pt-BR"/>
        </w:rPr>
      </w:pPr>
      <w:r>
        <w:rPr>
          <w:b/>
          <w:lang w:eastAsia="pt-BR"/>
        </w:rPr>
        <w:t>Das disposições preliminares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Para que seja instituído o programa de monitoria de determinada componente é necessário que exista a figura de um professor efetivo e de pelo menos um discente monitor, ambos da Universidade Federal do Recôncavo da Bahia.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O programa de monitoria se apresenta em duas modalidades: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Monitoria voluntária;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Monitoria remunerada.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O número de vagas é limitado para a remunerada.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O período de monitoria compreende o período letivo do primeiro semestre do ano de dois mil e quinze (2015.1).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Para concorrer a uma bolsa, o estudante não pode ter sido monitor remunerado em dois semestres consecutivos, restando-lhe, apenas, as vagas de monitoria voluntária.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O estudante poderá exercer o papel de monitor em apenas uma das componentes curriculares ofertadas pelo CETENS, a qual estiver apto.</w:t>
      </w:r>
    </w:p>
    <w:p>
      <w:pPr>
        <w:pStyle w:val="style32"/>
        <w:numPr>
          <w:ilvl w:val="0"/>
          <w:numId w:val="1"/>
        </w:numPr>
        <w:rPr>
          <w:b/>
          <w:lang w:eastAsia="pt-BR"/>
        </w:rPr>
      </w:pPr>
      <w:r>
        <w:rPr>
          <w:b/>
          <w:lang w:eastAsia="pt-BR"/>
        </w:rPr>
        <w:t>Das inscrições</w:t>
      </w:r>
    </w:p>
    <w:p>
      <w:pPr>
        <w:pStyle w:val="style32"/>
        <w:rPr>
          <w:lang w:eastAsia="pt-BR"/>
        </w:rPr>
      </w:pPr>
      <w:r>
        <w:rPr>
          <w:lang w:eastAsia="pt-BR"/>
        </w:rPr>
        <w:t xml:space="preserve">As inscrições serão realizadas na sede administrativa, </w:t>
      </w:r>
      <w:bookmarkStart w:id="0" w:name="OLE_LINK1"/>
      <w:bookmarkStart w:id="1" w:name="OLE_LINK2"/>
      <w:r>
        <w:rPr>
          <w:lang w:eastAsia="pt-BR"/>
        </w:rPr>
        <w:t xml:space="preserve">conforme prazo estipulado na seção Cronograma (Quadro 2), divulgado no </w:t>
      </w:r>
      <w:hyperlink r:id="rId5">
        <w:r>
          <w:rPr>
            <w:rStyle w:val="style19"/>
            <w:lang w:eastAsia="pt-BR"/>
          </w:rPr>
          <w:t>site</w:t>
        </w:r>
      </w:hyperlink>
      <w:bookmarkEnd w:id="0"/>
      <w:bookmarkEnd w:id="1"/>
      <w:r>
        <w:rPr>
          <w:lang w:eastAsia="pt-BR"/>
        </w:rPr>
        <w:t xml:space="preserve"> do CETENS e em murais no anexo da Sala da Pós-Graduação e na sede administrativa do CETENS.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Poderão se inscrever no programa de monitoria, discentes regularmente matriculados em cursos de graduação da UFRB, que comprovarem, no ato da inscrição, aprovação igual ou superior a 7.0 (sete) no(s) componente(s) curricular(es) desejado(s), ofertado(s) pelo CETENS.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No ato da inscrição, os estudantes deverão apresentar os seguintes documentos: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Ficha de inscrição devidamente preenchida.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Declaração apresentada pelo candidato, segundo modelo próprio fornecido pela UFRB, que assegure a sua concordância com as condições expostas neste Edital.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Cópia do documento de identidade e CPF.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Cópia do Comprovante de Matrícula atual.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 xml:space="preserve">Histórico escolar atualizado (podendo ser retirado do </w:t>
      </w:r>
      <w:hyperlink r:id="rId6">
        <w:r>
          <w:rPr>
            <w:rStyle w:val="style19"/>
            <w:lang w:eastAsia="pt-BR"/>
          </w:rPr>
          <w:t>portal</w:t>
        </w:r>
      </w:hyperlink>
      <w:r>
        <w:rPr>
          <w:lang w:eastAsia="pt-BR"/>
        </w:rPr>
        <w:t xml:space="preserve"> acadêmico).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O candidato que for aprovado em mais de um componente curricular, assumirá apenas uma destas.</w:t>
      </w:r>
    </w:p>
    <w:p>
      <w:pPr>
        <w:pStyle w:val="style32"/>
        <w:numPr>
          <w:ilvl w:val="0"/>
          <w:numId w:val="1"/>
        </w:numPr>
        <w:rPr>
          <w:b/>
          <w:lang w:eastAsia="pt-BR"/>
        </w:rPr>
      </w:pPr>
      <w:r>
        <w:rPr>
          <w:b/>
          <w:lang w:eastAsia="pt-BR"/>
        </w:rPr>
        <w:t>Das atribuições do professor orientador</w:t>
      </w:r>
    </w:p>
    <w:p>
      <w:pPr>
        <w:pStyle w:val="style0"/>
        <w:rPr>
          <w:lang w:eastAsia="pt-BR"/>
        </w:rPr>
      </w:pPr>
      <w:r>
        <w:rPr>
          <w:lang w:eastAsia="pt-BR"/>
        </w:rPr>
        <w:t>O Professor orientador, responsável pelo componente curricular a ser trabalhado pelo(s) monitor(es), deverá: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Orientar cada monitor para o desenvolvimento satisfatório em suas atividades durante o semestre, estimulando o seu interesse pela carreira docente;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 xml:space="preserve">Entregar, ao Comitê de Monitoria do CETENS, conforme prazo estipulado na seção Cronograma (Quadro 2), divulgado no </w:t>
      </w:r>
      <w:hyperlink r:id="rId7">
        <w:r>
          <w:rPr>
            <w:rStyle w:val="style19"/>
            <w:lang w:eastAsia="pt-BR"/>
          </w:rPr>
          <w:t>site</w:t>
        </w:r>
      </w:hyperlink>
      <w:r>
        <w:rPr>
          <w:lang w:eastAsia="pt-BR"/>
        </w:rPr>
        <w:t xml:space="preserve"> do CETENS e em murais no anexo da Sala da Pós-Graduação e na sede administrativa do CETENS, os seguintes documentos: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O projeto de monitoria;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O plano de trabalho do monitor selecionado;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O conteúdo programático para a realização da prova de conhecimentos básicos com a data de realização da mesma;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A prova de conhecimentos básicos (arquivo com extensão .doc ou .pdf);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As notas da entrevista e as das provas de conhecimentos básicos;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A frequência mensal do bolsista até o dia 25 de cada mês;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Parecer, ao término de cada período letivo, no corpo do relatório de avaliação do monitor, até dez dias após o final do semestre letivo.</w:t>
      </w:r>
    </w:p>
    <w:p>
      <w:pPr>
        <w:pStyle w:val="style32"/>
        <w:numPr>
          <w:ilvl w:val="0"/>
          <w:numId w:val="1"/>
        </w:numPr>
        <w:rPr>
          <w:b/>
          <w:lang w:eastAsia="pt-BR"/>
        </w:rPr>
      </w:pPr>
      <w:r>
        <w:rPr>
          <w:b/>
          <w:lang w:eastAsia="pt-BR"/>
        </w:rPr>
        <w:t>Das atribuições do monitor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Acompanhar e auxiliar o docente em atividades relacionadas com o componente curricular.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Realizar leituras suplementares visando seu aperfeiçoamento didático-técnico-científico.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Colaborar na organização do laboratório (se for o caso).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Elaborar e executar o plano de atividades conforme orientação contida na Resolução Nº 036/2010.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Apresentar um relatório ao final do período letivo. A não entrega deste relatório implicará no não recebimento do certificado e na não convalidação da carga horária para as Atividades Curriculares Complementares.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É vedado ao discente monitor: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Ministrar aulas teóricas e práticas na ausência do professor.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Executar funções administrativas.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Elaborar ou corrigir provas.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Atribuir notas e frequências.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Acumular a bolsa de monitoria com qualquer modalidade de bolsas internas e/ou externas, salvo casos previstos em legislação.</w:t>
      </w:r>
    </w:p>
    <w:p>
      <w:pPr>
        <w:pStyle w:val="style0"/>
        <w:spacing w:after="160" w:before="0" w:line="254" w:lineRule="auto"/>
        <w:contextualSpacing w:val="false"/>
        <w:jc w:val="left"/>
        <w:rPr>
          <w:b/>
          <w:lang w:eastAsia="pt-BR"/>
        </w:rPr>
      </w:pPr>
      <w:r>
        <w:rPr>
          <w:b/>
          <w:lang w:eastAsia="pt-BR"/>
        </w:rPr>
      </w:r>
    </w:p>
    <w:p>
      <w:pPr>
        <w:pStyle w:val="style32"/>
        <w:pageBreakBefore/>
        <w:numPr>
          <w:ilvl w:val="0"/>
          <w:numId w:val="1"/>
        </w:numPr>
        <w:rPr>
          <w:b/>
          <w:lang w:eastAsia="pt-BR"/>
        </w:rPr>
      </w:pPr>
      <w:r>
        <w:rPr>
          <w:b/>
          <w:lang w:eastAsia="pt-BR"/>
        </w:rPr>
        <w:t>Da carga horária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A carga horária do monitor remunerado será de 12 (doze) horas semanais e a do monitor voluntário será de 8 (oito) horas semanais, distribuídas de acordo com a disponibilidade de horário do discente, obedecendo à programação elaborada pelo professor orientador, contida no Plano de Trabalho.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O aproveitamento de carga horária de monitoria dar-se-á na forma prevista no regulamento de ensino de graduação, podendo ser destinada, à composição das atividades complementares do curso (ACC) do estudante.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Para efeito de certificação o monitor deverá permanecer no Programa de Monitoria pelo tempo mínimo de um período letivo.</w:t>
      </w:r>
    </w:p>
    <w:p>
      <w:pPr>
        <w:pStyle w:val="style32"/>
        <w:numPr>
          <w:ilvl w:val="0"/>
          <w:numId w:val="1"/>
        </w:numPr>
        <w:rPr>
          <w:b/>
          <w:lang w:eastAsia="pt-BR"/>
        </w:rPr>
      </w:pPr>
      <w:r>
        <w:rPr>
          <w:b/>
          <w:lang w:eastAsia="pt-BR"/>
        </w:rPr>
        <w:t>Do processo seletivo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Somente se submeterão ao processo seletivo os candidatos que tiverem sua inscrição deferida (aprovada) pelo comitê de monitoria.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O processo seletivo consta de: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Análise do Histórico Escolar;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Entrevista;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Prova de conhecimentos básicos (escrita e/ou didática) sobre o componente curricular pleiteado (elaborada, aplicada e corrigida pelo professor responsável pelo componente curricular).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 xml:space="preserve">As provas de conhecimentos básicos, que terão duração máxima de duas horas, e as entrevistas deverão ocorrer no período descrito conforme prazo estipulado na seção Cronograma (Quadro 2), divulgado no </w:t>
      </w:r>
      <w:hyperlink r:id="rId8">
        <w:r>
          <w:rPr>
            <w:rStyle w:val="style19"/>
            <w:lang w:eastAsia="pt-BR"/>
          </w:rPr>
          <w:t>site</w:t>
        </w:r>
      </w:hyperlink>
      <w:r>
        <w:rPr>
          <w:lang w:eastAsia="pt-BR"/>
        </w:rPr>
        <w:t xml:space="preserve"> do CETENS e em murais no anexo da Sala da Pós-Graduação e na sede administrativa do CETENS.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Será desclassificado o candidato que não comparecer à entrevista ou à prova de conhecimentos básicos ou deixar de entregar qualquer um dos documentos mencionados no item 3.3.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A nota parcial de cada candidato é obtida por meio da média aritmética simples das notas obtidas na entrevista e na prova de conhecimentos básicos (escrita e/ou didática), ambas com mesmo peso.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Os discentes que comprovarem a sua participação em Programa de Monitoria da UFRB, na categoria voluntária, terão pontuação extra de 0,25 a ser adicionada à média referida no item 7.5, compondo a nota final. Caso não haja esta participação, a nota final é a mesma nota parcial referida no item 7.5.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Os candidatos aprovados e não classificados para a modalidade remunerada, poderão, obedecendo à ordem de classificação, ocupar as vagas de monitoria voluntária na mesma componente curricular pleiteada que existam ou possam vir a surgir na vigência deste edital.</w:t>
      </w:r>
    </w:p>
    <w:p>
      <w:pPr>
        <w:pStyle w:val="style32"/>
        <w:numPr>
          <w:ilvl w:val="0"/>
          <w:numId w:val="1"/>
        </w:numPr>
        <w:rPr>
          <w:b/>
          <w:lang w:eastAsia="pt-BR"/>
        </w:rPr>
      </w:pPr>
      <w:r>
        <w:rPr>
          <w:b/>
          <w:lang w:eastAsia="pt-BR"/>
        </w:rPr>
        <w:t>Do resultado e dos recursos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 xml:space="preserve">A divulgação do resultado final será feita conforme prazo estipulado na seção Cronograma (Quadro 2), divulgado no </w:t>
      </w:r>
      <w:hyperlink r:id="rId9">
        <w:r>
          <w:rPr>
            <w:rStyle w:val="style19"/>
            <w:lang w:eastAsia="pt-BR"/>
          </w:rPr>
          <w:t>site</w:t>
        </w:r>
      </w:hyperlink>
      <w:r>
        <w:rPr>
          <w:lang w:eastAsia="pt-BR"/>
        </w:rPr>
        <w:t xml:space="preserve"> do CETENS e em murais no anexo da Sala da Pós-Graduação e na sede administrativa do CETENS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Em caso de empate serão aplicados os seguintes critérios de desempate, segundo normas estabelecidas na Resolução CONAC nº 036/2010: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O candidato que estiver cursando o período letivo mais avançado;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A maior nota obtida na prova de conhecimentos básicos.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 xml:space="preserve">Os recursos deverão ser interpostos conforme prazo estipulado na seção Cronograma (Quadro 2), divulgado no </w:t>
      </w:r>
      <w:hyperlink r:id="rId10">
        <w:r>
          <w:rPr>
            <w:rStyle w:val="style19"/>
            <w:lang w:eastAsia="pt-BR"/>
          </w:rPr>
          <w:t>site</w:t>
        </w:r>
      </w:hyperlink>
      <w:r>
        <w:rPr>
          <w:lang w:eastAsia="pt-BR"/>
        </w:rPr>
        <w:t xml:space="preserve"> do CETENS e em murais no anexo da Sala da Pós-Graduação e na sede administrativa do CETENS.</w:t>
      </w:r>
    </w:p>
    <w:p>
      <w:pPr>
        <w:pStyle w:val="style32"/>
        <w:ind w:hanging="0" w:left="360" w:right="0"/>
        <w:rPr>
          <w:b/>
          <w:lang w:eastAsia="pt-BR"/>
        </w:rPr>
      </w:pPr>
      <w:r>
        <w:rPr>
          <w:b/>
          <w:lang w:eastAsia="pt-BR"/>
        </w:rPr>
      </w:r>
    </w:p>
    <w:p>
      <w:pPr>
        <w:pStyle w:val="style32"/>
        <w:numPr>
          <w:ilvl w:val="0"/>
          <w:numId w:val="1"/>
        </w:numPr>
        <w:rPr>
          <w:b/>
          <w:lang w:eastAsia="pt-BR"/>
        </w:rPr>
      </w:pPr>
      <w:r>
        <w:rPr>
          <w:b/>
          <w:lang w:eastAsia="pt-BR"/>
        </w:rPr>
        <w:t>Das bolsas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Serão pagas 4 (quatro) bolsas referentes ao primeiro semestre letivo do ano de 2015.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O valor da bolsa do Programa de Monitoria é de R$ 400,00 (quatrocentos reais).</w:t>
      </w:r>
    </w:p>
    <w:p>
      <w:pPr>
        <w:pStyle w:val="style32"/>
        <w:numPr>
          <w:ilvl w:val="0"/>
          <w:numId w:val="1"/>
        </w:numPr>
        <w:rPr>
          <w:b/>
          <w:lang w:eastAsia="pt-BR"/>
        </w:rPr>
      </w:pPr>
      <w:r>
        <w:rPr>
          <w:b/>
          <w:lang w:eastAsia="pt-BR"/>
        </w:rPr>
        <w:t>Do início das atividades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O discente monitor deverá iniciar as suas atividades logo após a divulgação do resultado final.</w:t>
      </w:r>
    </w:p>
    <w:p>
      <w:pPr>
        <w:pStyle w:val="style32"/>
        <w:numPr>
          <w:ilvl w:val="0"/>
          <w:numId w:val="1"/>
        </w:numPr>
        <w:rPr>
          <w:b/>
          <w:lang w:eastAsia="pt-BR"/>
        </w:rPr>
      </w:pPr>
      <w:r>
        <w:rPr>
          <w:b/>
          <w:lang w:eastAsia="pt-BR"/>
        </w:rPr>
        <w:t>Do desligamento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O discente monitor poderá ser desvinculado do programa: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Por desistência voluntária;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Incompatibilidade de horário;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Por solicitação do orientador;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Por trancamento de matrícula;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Por sanção disciplinar;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Caso apresente número de faltas superior a 25% do total destinado ao período de vigência do programa de monitoria.</w:t>
      </w:r>
    </w:p>
    <w:p>
      <w:pPr>
        <w:pStyle w:val="style32"/>
        <w:numPr>
          <w:ilvl w:val="2"/>
          <w:numId w:val="1"/>
        </w:numPr>
        <w:rPr>
          <w:lang w:eastAsia="pt-BR"/>
        </w:rPr>
      </w:pPr>
      <w:r>
        <w:rPr>
          <w:lang w:eastAsia="pt-BR"/>
        </w:rPr>
        <w:t>Por desempenho insatisfatório.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A ociosidade da vaga, por qualquer um dos motivos citados, poderá acarretar em uma substituição do monitor pelo candidato classificado posteriormente.</w:t>
      </w:r>
    </w:p>
    <w:p>
      <w:pPr>
        <w:pStyle w:val="style32"/>
        <w:numPr>
          <w:ilvl w:val="0"/>
          <w:numId w:val="1"/>
        </w:numPr>
        <w:rPr>
          <w:b/>
          <w:lang w:eastAsia="pt-BR"/>
        </w:rPr>
      </w:pPr>
      <w:r>
        <w:rPr>
          <w:b/>
          <w:lang w:eastAsia="pt-BR"/>
        </w:rPr>
        <w:t>Das disposições gerais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A aprovação no processo seletivo não assegura ao candidato o direito a bolsa, ficando a concretização deste ato condicionada à disponibilidade dos recursos oferecidos pelos órgãos financiadores da UFRB, além da observância das normas legais pertinentes e da ordem de classificação.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O discente aprovado nesta seleção, como monitor voluntário, poderá ao longo das suas atividades, ser contemplado com uma bolsa, desde que haja a disponibilidade dos recursos pelos órgãos financiadores da UFRB, além da observância das normas legais pertinentes e da ordem de classificação.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Exceto para alguns casos previstos em legislação específica desta universidade, o acúmulo de bolsas não é permitido.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A inscrição do candidato no processo seletivo implica em conhecimento e aceitação tácita das condições estabelecidas no presente edital interno, das quais o candidato não poderá alegar desconhecimento.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>Serão liminarmente indeferidos os pedidos que não satisfizerem a todas as condições especificadas neste edital.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 xml:space="preserve">A monitoria voluntária, com seleção prévia, deverá ser efetivada conforme prazo estipulado na seção Cronograma (Quadro 2), divulgado no </w:t>
      </w:r>
      <w:hyperlink r:id="rId11">
        <w:r>
          <w:rPr>
            <w:rStyle w:val="style19"/>
            <w:lang w:eastAsia="pt-BR"/>
          </w:rPr>
          <w:t>site</w:t>
        </w:r>
      </w:hyperlink>
      <w:r>
        <w:rPr>
          <w:lang w:eastAsia="pt-BR"/>
        </w:rPr>
        <w:t xml:space="preserve"> do CETENS e em murais no anexo da Sala da Pós-Graduação e na sede administrativa do CETENS, desde que cumpra as exigências previstas neste edital.</w:t>
      </w:r>
    </w:p>
    <w:p>
      <w:pPr>
        <w:pStyle w:val="style32"/>
        <w:numPr>
          <w:ilvl w:val="1"/>
          <w:numId w:val="1"/>
        </w:numPr>
        <w:rPr>
          <w:lang w:eastAsia="pt-BR"/>
        </w:rPr>
      </w:pPr>
      <w:r>
        <w:rPr>
          <w:lang w:eastAsia="pt-BR"/>
        </w:rPr>
        <w:t xml:space="preserve">Os casos omissos serão resolvidos pelo Comitê de Monitoria do Centro de Ciência e Tecnologia em Energia e Sustentabilidade. </w:t>
      </w:r>
    </w:p>
    <w:p>
      <w:pPr>
        <w:pStyle w:val="style32"/>
        <w:numPr>
          <w:ilvl w:val="0"/>
          <w:numId w:val="1"/>
        </w:numPr>
        <w:rPr>
          <w:b/>
          <w:lang w:eastAsia="pt-BR"/>
        </w:rPr>
      </w:pPr>
      <w:r>
        <w:rPr>
          <w:b/>
          <w:lang w:eastAsia="pt-BR"/>
        </w:rPr>
        <w:t>Quadro da relação de componentes e vagas correspondentes (Quadro 1)</w:t>
      </w:r>
    </w:p>
    <w:tbl>
      <w:tblPr>
        <w:jc w:val="left"/>
        <w:tblInd w:type="dxa" w:w="83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  <w:right w:color="000001" w:space="0" w:sz="6" w:val="single"/>
          <w:insideV w:color="000001" w:space="0" w:sz="6" w:val="single"/>
        </w:tblBorders>
        <w:tblCellMar>
          <w:top w:type="dxa" w:w="105"/>
          <w:left w:type="dxa" w:w="89"/>
          <w:bottom w:type="dxa" w:w="105"/>
          <w:right w:type="dxa" w:w="105"/>
        </w:tblCellMar>
      </w:tblPr>
      <w:tblGrid>
        <w:gridCol w:w="1226"/>
        <w:gridCol w:w="3534"/>
        <w:gridCol w:w="1619"/>
        <w:gridCol w:w="857"/>
        <w:gridCol w:w="2510"/>
      </w:tblGrid>
      <w:tr>
        <w:trPr>
          <w:trHeight w:hRule="atLeast" w:val="227"/>
          <w:cantSplit w:val="false"/>
        </w:trPr>
        <w:tc>
          <w:tcPr>
            <w:tcW w:type="dxa" w:w="12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0" w:before="0"/>
              <w:contextualSpacing w:val="false"/>
              <w:jc w:val="center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Código</w:t>
            </w:r>
          </w:p>
        </w:tc>
        <w:tc>
          <w:tcPr>
            <w:tcW w:type="dxa" w:w="35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0" w:before="0"/>
              <w:contextualSpacing w:val="false"/>
              <w:jc w:val="center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Componente Curricular</w:t>
            </w:r>
          </w:p>
        </w:tc>
        <w:tc>
          <w:tcPr>
            <w:tcW w:type="dxa" w:w="16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0" w:before="0"/>
              <w:contextualSpacing w:val="false"/>
              <w:jc w:val="center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Categoria</w:t>
            </w:r>
          </w:p>
        </w:tc>
        <w:tc>
          <w:tcPr>
            <w:tcW w:type="dxa" w:w="85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0" w:before="0"/>
              <w:contextualSpacing w:val="false"/>
              <w:jc w:val="center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Vagas</w:t>
            </w:r>
          </w:p>
        </w:tc>
        <w:tc>
          <w:tcPr>
            <w:tcW w:type="dxa" w:w="251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0" w:before="0"/>
              <w:contextualSpacing w:val="false"/>
              <w:jc w:val="center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Professor Orientador</w:t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1226"/>
            <w:tcBorders>
              <w:top w:color="000001" w:space="0" w:sz="6" w:val="single"/>
              <w:left w:color="000001" w:space="0" w:sz="6" w:val="single"/>
              <w:bottom w:color="00000A" w:space="0" w:sz="4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0" w:before="0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CETENS123</w:t>
            </w:r>
          </w:p>
        </w:tc>
        <w:tc>
          <w:tcPr>
            <w:tcW w:type="dxa" w:w="3534"/>
            <w:tcBorders>
              <w:top w:color="000001" w:space="0" w:sz="6" w:val="single"/>
              <w:left w:color="000001" w:space="0" w:sz="6" w:val="single"/>
              <w:bottom w:color="00000A" w:space="0" w:sz="4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0" w:before="0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Cálculo Diferencial e Integral I</w:t>
            </w:r>
          </w:p>
        </w:tc>
        <w:tc>
          <w:tcPr>
            <w:tcW w:type="dxa" w:w="1619"/>
            <w:tcBorders>
              <w:top w:color="000001" w:space="0" w:sz="6" w:val="single"/>
              <w:left w:color="000001" w:space="0" w:sz="6" w:val="single"/>
              <w:bottom w:color="00000A" w:space="0" w:sz="4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0" w:before="0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Remunerada</w:t>
            </w:r>
          </w:p>
        </w:tc>
        <w:tc>
          <w:tcPr>
            <w:tcW w:type="dxa" w:w="857"/>
            <w:tcBorders>
              <w:top w:color="000001" w:space="0" w:sz="6" w:val="single"/>
              <w:left w:color="000001" w:space="0" w:sz="6" w:val="single"/>
              <w:bottom w:color="00000A" w:space="0" w:sz="4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0" w:before="0"/>
              <w:contextualSpacing w:val="false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type="dxa" w:w="2510"/>
            <w:tcBorders>
              <w:top w:color="000001" w:space="0" w:sz="6" w:val="single"/>
              <w:left w:color="000001" w:space="0" w:sz="6" w:val="single"/>
              <w:bottom w:color="00000A" w:space="0" w:sz="4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0" w:before="0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A ser divulgado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1226"/>
            <w:tcBorders>
              <w:top w:color="00000A" w:space="0" w:sz="4" w:val="single"/>
              <w:left w:color="000001" w:space="0" w:sz="6" w:val="single"/>
              <w:bottom w:color="00000A" w:space="0" w:sz="4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120" w:before="120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CETENS116</w:t>
            </w:r>
          </w:p>
        </w:tc>
        <w:tc>
          <w:tcPr>
            <w:tcW w:type="dxa" w:w="3534"/>
            <w:tcBorders>
              <w:top w:color="00000A" w:space="0" w:sz="4" w:val="single"/>
              <w:left w:color="000001" w:space="0" w:sz="6" w:val="single"/>
              <w:bottom w:color="00000A" w:space="0" w:sz="4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0" w:before="0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Fundamentos da Matemática</w:t>
            </w:r>
          </w:p>
        </w:tc>
        <w:tc>
          <w:tcPr>
            <w:tcW w:type="dxa" w:w="1619"/>
            <w:tcBorders>
              <w:top w:color="00000A" w:space="0" w:sz="4" w:val="single"/>
              <w:left w:color="000001" w:space="0" w:sz="6" w:val="single"/>
              <w:bottom w:color="00000A" w:space="0" w:sz="4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0" w:before="0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Remunerada</w:t>
            </w:r>
          </w:p>
        </w:tc>
        <w:tc>
          <w:tcPr>
            <w:tcW w:type="dxa" w:w="857"/>
            <w:tcBorders>
              <w:top w:color="00000A" w:space="0" w:sz="4" w:val="single"/>
              <w:left w:color="000001" w:space="0" w:sz="6" w:val="single"/>
              <w:bottom w:color="00000A" w:space="0" w:sz="4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0" w:before="0"/>
              <w:contextualSpacing w:val="false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type="dxa" w:w="2510"/>
            <w:tcBorders>
              <w:top w:color="00000A" w:space="0" w:sz="4" w:val="single"/>
              <w:left w:color="000001" w:space="0" w:sz="6" w:val="single"/>
              <w:bottom w:color="00000A" w:space="0" w:sz="4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0" w:before="0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A ser divulgado</w:t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1226"/>
            <w:tcBorders>
              <w:top w:color="00000A" w:space="0" w:sz="4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120" w:before="120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CETENS008</w:t>
            </w:r>
          </w:p>
        </w:tc>
        <w:tc>
          <w:tcPr>
            <w:tcW w:type="dxa" w:w="3534"/>
            <w:tcBorders>
              <w:top w:color="00000A" w:space="0" w:sz="4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0" w:before="0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Matemática na Educação Básica I</w:t>
            </w:r>
          </w:p>
        </w:tc>
        <w:tc>
          <w:tcPr>
            <w:tcW w:type="dxa" w:w="1619"/>
            <w:tcBorders>
              <w:top w:color="00000A" w:space="0" w:sz="4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0" w:before="0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Remunerada</w:t>
            </w:r>
          </w:p>
        </w:tc>
        <w:tc>
          <w:tcPr>
            <w:tcW w:type="dxa" w:w="857"/>
            <w:tcBorders>
              <w:top w:color="00000A" w:space="0" w:sz="4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0" w:before="0"/>
              <w:contextualSpacing w:val="false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type="dxa" w:w="2510"/>
            <w:tcBorders>
              <w:top w:color="00000A" w:space="0" w:sz="4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0" w:before="0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A ser divulgado</w:t>
            </w:r>
          </w:p>
        </w:tc>
      </w:tr>
      <w:tr>
        <w:trPr>
          <w:trHeight w:hRule="atLeast" w:val="227"/>
          <w:cantSplit w:val="false"/>
        </w:trPr>
        <w:tc>
          <w:tcPr>
            <w:tcW w:type="dxa" w:w="122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160" w:before="0" w:line="254" w:lineRule="auto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CETENSXXX</w:t>
            </w:r>
          </w:p>
        </w:tc>
        <w:tc>
          <w:tcPr>
            <w:tcW w:type="dxa" w:w="35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160" w:before="0" w:line="254" w:lineRule="auto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Qualquer componente curricular ofertado pelo CETENS</w:t>
            </w:r>
          </w:p>
        </w:tc>
        <w:tc>
          <w:tcPr>
            <w:tcW w:type="dxa" w:w="16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89"/>
            </w:tcMar>
            <w:vAlign w:val="center"/>
          </w:tcPr>
          <w:p>
            <w:pPr>
              <w:pStyle w:val="style0"/>
              <w:spacing w:after="120" w:before="120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Voluntária</w:t>
            </w:r>
          </w:p>
        </w:tc>
        <w:tc>
          <w:tcPr>
            <w:tcW w:type="dxa" w:w="85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89"/>
            </w:tcMar>
          </w:tcPr>
          <w:p>
            <w:pPr>
              <w:pStyle w:val="style0"/>
              <w:spacing w:after="160" w:before="0" w:line="254" w:lineRule="auto"/>
              <w:contextualSpacing w:val="false"/>
              <w:rPr>
                <w:lang w:eastAsia="pt-BR"/>
              </w:rPr>
            </w:pPr>
            <w:r>
              <w:rPr>
                <w:lang w:eastAsia="pt-BR"/>
              </w:rPr>
              <w:t xml:space="preserve">       </w:t>
            </w:r>
            <w:r>
              <w:rPr>
                <w:lang w:eastAsia="pt-BR"/>
              </w:rPr>
              <w:t>-</w:t>
            </w:r>
          </w:p>
          <w:p>
            <w:pPr>
              <w:pStyle w:val="style0"/>
              <w:spacing w:after="160" w:before="0" w:line="254" w:lineRule="auto"/>
              <w:contextualSpacing w:val="false"/>
              <w:jc w:val="center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type="dxa" w:w="251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89"/>
            </w:tcMar>
          </w:tcPr>
          <w:p>
            <w:pPr>
              <w:pStyle w:val="style0"/>
              <w:widowControl/>
              <w:spacing w:after="120" w:before="120" w:line="276" w:lineRule="auto"/>
              <w:contextualSpacing w:val="false"/>
              <w:jc w:val="both"/>
              <w:rPr>
                <w:lang w:eastAsia="pt-BR"/>
              </w:rPr>
            </w:pPr>
            <w:r>
              <w:rPr/>
              <w:t xml:space="preserve">  </w:t>
            </w:r>
            <w:bookmarkStart w:id="2" w:name="_GoBack"/>
            <w:bookmarkEnd w:id="2"/>
            <w:r>
              <w:rPr>
                <w:lang w:eastAsia="pt-BR"/>
              </w:rPr>
              <w:t>A ser divulgado</w:t>
            </w:r>
          </w:p>
        </w:tc>
      </w:tr>
    </w:tbl>
    <w:p>
      <w:pPr>
        <w:pStyle w:val="style0"/>
        <w:spacing w:after="160" w:before="0" w:line="254" w:lineRule="auto"/>
        <w:contextualSpacing w:val="false"/>
        <w:jc w:val="left"/>
        <w:rPr>
          <w:b/>
          <w:lang w:eastAsia="pt-BR"/>
        </w:rPr>
      </w:pPr>
      <w:r>
        <w:rPr>
          <w:b/>
          <w:lang w:eastAsia="pt-BR"/>
        </w:rPr>
      </w:r>
    </w:p>
    <w:p>
      <w:pPr>
        <w:pStyle w:val="style32"/>
        <w:numPr>
          <w:ilvl w:val="0"/>
          <w:numId w:val="1"/>
        </w:numPr>
        <w:jc w:val="left"/>
        <w:rPr>
          <w:b/>
          <w:lang w:eastAsia="pt-BR"/>
        </w:rPr>
      </w:pPr>
      <w:r>
        <w:rPr>
          <w:b/>
          <w:lang w:eastAsia="pt-BR"/>
        </w:rPr>
        <w:t>Cronograma (Monitoria Remunerada e Voluntária - Quadro 2)</w:t>
        <w:br/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6664"/>
        <w:gridCol w:w="3081"/>
      </w:tblGrid>
      <w:tr>
        <w:trPr>
          <w:cantSplit w:val="false"/>
        </w:trPr>
        <w:tc>
          <w:tcPr>
            <w:tcW w:type="dxa" w:w="66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20" w:before="120"/>
              <w:contextualSpacing w:val="false"/>
              <w:jc w:val="center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Prazo</w:t>
            </w:r>
          </w:p>
        </w:tc>
        <w:tc>
          <w:tcPr>
            <w:tcW w:type="dxa" w:w="30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20" w:before="120"/>
              <w:contextualSpacing w:val="false"/>
              <w:jc w:val="center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Atividade</w:t>
            </w:r>
          </w:p>
        </w:tc>
      </w:tr>
      <w:tr>
        <w:trPr>
          <w:trHeight w:hRule="atLeast" w:val="255"/>
          <w:cantSplit w:val="false"/>
        </w:trPr>
        <w:tc>
          <w:tcPr>
            <w:tcW w:type="dxa" w:w="66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120" w:before="120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 xml:space="preserve">Inscrições das 08h00min às 12h00min </w:t>
            </w:r>
          </w:p>
        </w:tc>
        <w:tc>
          <w:tcPr>
            <w:tcW w:type="dxa" w:w="30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lang w:eastAsia="pt-BR"/>
              </w:rPr>
            </w:pPr>
            <w:r>
              <w:rPr>
                <w:lang w:eastAsia="pt-BR"/>
              </w:rPr>
              <w:t>Início: 08/06</w:t>
            </w:r>
          </w:p>
          <w:p>
            <w:pPr>
              <w:pStyle w:val="style0"/>
              <w:spacing w:after="120" w:before="120"/>
              <w:contextualSpacing w:val="false"/>
              <w:jc w:val="center"/>
              <w:rPr>
                <w:lang w:eastAsia="pt-BR"/>
              </w:rPr>
            </w:pPr>
            <w:r>
              <w:rPr>
                <w:lang w:eastAsia="pt-BR"/>
              </w:rPr>
              <w:t>Término: 15 /06/2015 (até às 12h00min)</w:t>
            </w:r>
          </w:p>
        </w:tc>
      </w:tr>
      <w:tr>
        <w:trPr>
          <w:cantSplit w:val="false"/>
        </w:trPr>
        <w:tc>
          <w:tcPr>
            <w:tcW w:type="dxa" w:w="66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120" w:before="120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Homologação das Inscrições</w:t>
            </w:r>
          </w:p>
        </w:tc>
        <w:tc>
          <w:tcPr>
            <w:tcW w:type="dxa" w:w="30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20" w:before="120"/>
              <w:contextualSpacing w:val="false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15/06/2015 (tarde)</w:t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66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Recurso contra Homologação das inscrições</w:t>
            </w:r>
          </w:p>
        </w:tc>
        <w:tc>
          <w:tcPr>
            <w:tcW w:type="dxa" w:w="30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16/06/2015 (até às 17h00min)</w:t>
            </w:r>
          </w:p>
        </w:tc>
      </w:tr>
      <w:tr>
        <w:trPr>
          <w:cantSplit w:val="false"/>
        </w:trPr>
        <w:tc>
          <w:tcPr>
            <w:tcW w:type="dxa" w:w="66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Realização das provas e entrevistas</w:t>
            </w:r>
          </w:p>
        </w:tc>
        <w:tc>
          <w:tcPr>
            <w:tcW w:type="dxa" w:w="30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17/06/2015</w:t>
            </w:r>
          </w:p>
        </w:tc>
      </w:tr>
      <w:tr>
        <w:trPr>
          <w:trHeight w:hRule="atLeast" w:val="195"/>
          <w:cantSplit w:val="false"/>
        </w:trPr>
        <w:tc>
          <w:tcPr>
            <w:tcW w:type="dxa" w:w="66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Resultado das provas e entrevistas</w:t>
            </w:r>
          </w:p>
        </w:tc>
        <w:tc>
          <w:tcPr>
            <w:tcW w:type="dxa" w:w="30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18/06/2015</w:t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66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Entrega dos projetos de monitoria (remunerada e voluntária), planos de trabalho, provas corrigidas, entrevistas, resultados e relatório da seleção</w:t>
            </w:r>
          </w:p>
        </w:tc>
        <w:tc>
          <w:tcPr>
            <w:tcW w:type="dxa" w:w="30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lang w:eastAsia="pt-BR"/>
              </w:rPr>
            </w:pPr>
            <w:r>
              <w:rPr>
                <w:lang w:eastAsia="pt-BR"/>
              </w:rPr>
              <w:t>Até 19/06/2015</w:t>
            </w:r>
          </w:p>
        </w:tc>
      </w:tr>
      <w:tr>
        <w:trPr>
          <w:cantSplit w:val="false"/>
        </w:trPr>
        <w:tc>
          <w:tcPr>
            <w:tcW w:type="dxa" w:w="66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Interposição de recursos</w:t>
            </w:r>
          </w:p>
        </w:tc>
        <w:tc>
          <w:tcPr>
            <w:tcW w:type="dxa" w:w="30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lang w:eastAsia="pt-BR"/>
              </w:rPr>
            </w:pPr>
            <w:r>
              <w:rPr>
                <w:lang w:eastAsia="pt-BR"/>
              </w:rPr>
              <w:t>Até as 12h do dia 19/06/2015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66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  <w:rPr>
                <w:lang w:eastAsia="pt-BR"/>
              </w:rPr>
            </w:pPr>
            <w:r>
              <w:rPr>
                <w:lang w:eastAsia="pt-BR"/>
              </w:rPr>
              <w:t>Resultado final</w:t>
            </w:r>
          </w:p>
        </w:tc>
        <w:tc>
          <w:tcPr>
            <w:tcW w:type="dxa" w:w="30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lang w:eastAsia="pt-BR"/>
              </w:rPr>
            </w:pPr>
            <w:r>
              <w:rPr>
                <w:lang w:eastAsia="pt-BR"/>
              </w:rPr>
              <w:t>Até as 17h do dia 19/06/2015</w:t>
            </w:r>
          </w:p>
        </w:tc>
      </w:tr>
    </w:tbl>
    <w:p>
      <w:pPr>
        <w:pStyle w:val="style0"/>
        <w:jc w:val="center"/>
        <w:rPr>
          <w:lang w:eastAsia="pt-BR"/>
        </w:rPr>
      </w:pPr>
      <w:r>
        <w:rPr>
          <w:lang w:eastAsia="pt-BR"/>
        </w:rPr>
        <w:t>Feira de Santana/BA, 08 de junho de 2015</w:t>
      </w:r>
    </w:p>
    <w:p>
      <w:pPr>
        <w:pStyle w:val="style0"/>
        <w:jc w:val="right"/>
        <w:rPr>
          <w:lang w:eastAsia="pt-BR"/>
        </w:rPr>
      </w:pPr>
      <w:r>
        <w:rPr>
          <w:lang w:eastAsia="pt-BR"/>
        </w:rPr>
      </w:r>
    </w:p>
    <w:p>
      <w:pPr>
        <w:pStyle w:val="style0"/>
        <w:jc w:val="center"/>
        <w:rPr>
          <w:lang w:eastAsia="pt-BR"/>
        </w:rPr>
      </w:pPr>
      <w:r>
        <w:rPr>
          <w:lang w:eastAsia="pt-BR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lang w:eastAsia="pt-BR"/>
        </w:rPr>
      </w:pPr>
      <w:r>
        <w:rPr>
          <w:lang w:eastAsia="pt-BR"/>
        </w:rPr>
        <w:t>JULIANO PEREIRA CAMPOS</w:t>
      </w:r>
    </w:p>
    <w:p>
      <w:pPr>
        <w:pStyle w:val="style0"/>
        <w:spacing w:after="0" w:before="0" w:line="100" w:lineRule="atLeast"/>
        <w:contextualSpacing w:val="false"/>
        <w:jc w:val="center"/>
        <w:rPr>
          <w:lang w:eastAsia="pt-BR"/>
        </w:rPr>
      </w:pPr>
      <w:r>
        <w:rPr>
          <w:lang w:eastAsia="pt-BR"/>
        </w:rPr>
        <w:t>Presidente do Comitê de Monitoria do CETENS</w:t>
      </w:r>
    </w:p>
    <w:p>
      <w:pPr>
        <w:pStyle w:val="style0"/>
        <w:widowControl/>
        <w:spacing w:after="120" w:before="120" w:line="276" w:lineRule="auto"/>
        <w:contextualSpacing w:val="false"/>
        <w:jc w:val="both"/>
        <w:rPr/>
      </w:pPr>
      <w:r>
        <w:rPr/>
      </w:r>
    </w:p>
    <w:p>
      <w:pPr>
        <w:pStyle w:val="style0"/>
        <w:widowControl/>
        <w:suppressAutoHyphens w:val="true"/>
        <w:spacing w:after="120" w:before="120" w:line="276" w:lineRule="auto"/>
        <w:contextualSpacing w:val="false"/>
        <w:jc w:val="both"/>
        <w:rPr/>
      </w:pPr>
      <w:r>
        <w:rPr/>
      </w:r>
    </w:p>
    <w:sectPr>
      <w:headerReference r:id="rId12" w:type="default"/>
      <w:footerReference r:id="rId13" w:type="default"/>
      <w:type w:val="nextPage"/>
      <w:pgSz w:h="16838" w:w="11906"/>
      <w:pgMar w:bottom="1440" w:footer="708" w:gutter="0" w:header="708" w:left="1080" w:right="1080" w:top="1440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1"/>
      <w:ind w:hanging="0" w:left="0" w:right="360"/>
      <w:jc w:val="center"/>
      <w:rPr>
        <w:sz w:val="16"/>
        <w:szCs w:val="16"/>
      </w:rPr>
    </w:pPr>
    <w:r>
      <w:rPr>
        <w:sz w:val="16"/>
        <w:szCs w:val="16"/>
      </w:rPr>
      <w:t>UFRB|CETENS</w:t>
    </w:r>
  </w:p>
  <w:p>
    <w:pPr>
      <w:pStyle w:val="style31"/>
      <w:ind w:hanging="0" w:left="0" w:right="360"/>
      <w:jc w:val="center"/>
      <w:rPr>
        <w:sz w:val="16"/>
        <w:szCs w:val="16"/>
      </w:rPr>
    </w:pPr>
    <w:r>
      <w:rPr>
        <w:sz w:val="16"/>
        <w:szCs w:val="16"/>
      </w:rPr>
      <w:t>Avenida Centenário, 697, Bairro SIM. CEP 44.085-132, Feira de Santana/BA</w:t>
    </w:r>
  </w:p>
  <w:p>
    <w:pPr>
      <w:pStyle w:val="style31"/>
      <w:ind w:hanging="0" w:left="0" w:right="360"/>
      <w:jc w:val="center"/>
      <w:rPr>
        <w:sz w:val="16"/>
        <w:szCs w:val="16"/>
      </w:rPr>
    </w:pPr>
    <w:r>
      <w:rPr>
        <w:sz w:val="16"/>
        <w:szCs w:val="16"/>
      </w:rPr>
      <w:t>Tel. (75) 3622-9351. http://www.ufrb.edu.br/cetens</w:t>
    </w:r>
    <w:r>
      <w:pict>
        <v:rect fillcolor="#FFFFFF" strokecolor="#000000" strokeweight="0pt" style="position:absolute;width:40.2pt;height:275.85pt;margin-top:486.65pt;margin-left:538.5pt">
          <v:textbox inset="7.2pt,3.6pt,7.2pt,3.6pt">
            <w:txbxContent>
              <w:p>
                <w:pPr>
                  <w:pStyle w:val="style31"/>
                  <w:rPr>
                    <w:rFonts w:ascii="Cambria" w:hAnsi="Cambria"/>
                    <w:color w:val="7F7F7F"/>
                  </w:rPr>
                </w:pPr>
                <w:r>
                  <w:rPr>
                    <w:rFonts w:ascii="Cambria" w:hAnsi="Cambria"/>
                    <w:color w:val="7F7F7F"/>
                  </w:rPr>
                  <w:t xml:space="preserve">EDITAL DE MONITORIA CETENS      </w:t>
                </w:r>
                <w:r>
                  <w:rPr>
                    <w:rFonts w:ascii="Cambria" w:hAnsi="Cambria"/>
                    <w:color w:val="7F7F7F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center"/>
      <w:tblInd w:type="dxa" w:w="0"/>
      <w:tblBorders>
        <w:top w:val="nil"/>
        <w:left w:val="nil"/>
        <w:bottom w:val="nil"/>
        <w:insideH w:val="nil"/>
        <w:right w:val="nil"/>
        <w:insideV w:val="nil"/>
      </w:tblBorders>
      <w:tblCellMar>
        <w:top w:type="dxa" w:w="0"/>
        <w:left w:type="dxa" w:w="108"/>
        <w:bottom w:type="dxa" w:w="0"/>
        <w:right w:type="dxa" w:w="108"/>
      </w:tblCellMar>
    </w:tblPr>
    <w:tblGrid>
      <w:gridCol w:w="2438"/>
      <w:gridCol w:w="5829"/>
      <w:gridCol w:w="1479"/>
    </w:tblGrid>
    <w:tr>
      <w:trPr>
        <w:trHeight w:hRule="atLeast" w:val="693"/>
        <w:cantSplit w:val="false"/>
      </w:trPr>
      <w:tc>
        <w:tcPr>
          <w:tcW w:type="dxa" w:w="2438"/>
          <w:vMerge w:val="restart"/>
          <w:tcBorders>
            <w:top w:val="nil"/>
            <w:left w:val="nil"/>
            <w:bottom w:val="nil"/>
            <w:right w:val="nil"/>
          </w:tcBorders>
          <w:shd w:fill="FFFFFF" w:val="clear"/>
          <w:vAlign w:val="center"/>
        </w:tcPr>
        <w:p>
          <w:pPr>
            <w:pStyle w:val="style0"/>
            <w:spacing w:after="0" w:before="0" w:line="100" w:lineRule="atLeast"/>
            <w:contextualSpacing w:val="false"/>
            <w:jc w:val="center"/>
            <w:rPr/>
          </w:pPr>
          <w:r>
            <w:rPr/>
            <w:drawing>
              <wp:inline distB="0" distL="0" distR="0" distT="0">
                <wp:extent cx="1228725" cy="885825"/>
                <wp:effectExtent b="0" l="0" r="0" t="0"/>
                <wp:docPr descr="" id="0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" id="0" name="Picture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5829"/>
          <w:tcBorders>
            <w:top w:val="nil"/>
            <w:left w:val="nil"/>
            <w:bottom w:val="nil"/>
            <w:right w:val="nil"/>
          </w:tcBorders>
          <w:shd w:fill="FFFFFF" w:val="clear"/>
          <w:vAlign w:val="center"/>
        </w:tcPr>
        <w:p>
          <w:pPr>
            <w:pStyle w:val="style0"/>
            <w:spacing w:after="0" w:before="0" w:line="100" w:lineRule="atLeast"/>
            <w:contextualSpacing w:val="false"/>
            <w:jc w:val="center"/>
            <w:rPr>
              <w:rFonts w:eastAsia="PMingLiU"/>
              <w:b/>
              <w:szCs w:val="72"/>
            </w:rPr>
          </w:pPr>
          <w:r>
            <w:rPr>
              <w:rFonts w:eastAsia="PMingLiU"/>
              <w:b/>
              <w:szCs w:val="72"/>
            </w:rPr>
            <w:t>UNIVERSIDADE FEDERAL DO RECÔNCAVO DA BAHIA</w:t>
          </w:r>
        </w:p>
        <w:p>
          <w:pPr>
            <w:pStyle w:val="style0"/>
            <w:spacing w:after="0" w:before="0" w:line="100" w:lineRule="atLeast"/>
            <w:contextualSpacing w:val="false"/>
            <w:jc w:val="center"/>
            <w:rPr>
              <w:rFonts w:eastAsia="PMingLiU"/>
              <w:sz w:val="16"/>
              <w:szCs w:val="16"/>
            </w:rPr>
          </w:pPr>
          <w:r>
            <w:rPr>
              <w:rFonts w:eastAsia="PMingLiU"/>
              <w:sz w:val="16"/>
              <w:szCs w:val="16"/>
            </w:rPr>
            <w:t>Autorizada pela Lei Nº 11.151 de 29/07/2005</w:t>
          </w:r>
        </w:p>
      </w:tc>
      <w:tc>
        <w:tcPr>
          <w:tcW w:type="dxa" w:w="1479"/>
          <w:vMerge w:val="restart"/>
          <w:tcBorders>
            <w:top w:val="nil"/>
            <w:left w:val="nil"/>
            <w:bottom w:val="nil"/>
            <w:right w:val="nil"/>
          </w:tcBorders>
          <w:shd w:fill="FFFFFF" w:val="clear"/>
          <w:vAlign w:val="center"/>
        </w:tcPr>
        <w:p>
          <w:pPr>
            <w:pStyle w:val="style0"/>
            <w:spacing w:after="0" w:before="0" w:line="100" w:lineRule="atLeast"/>
            <w:contextualSpacing w:val="false"/>
            <w:jc w:val="center"/>
            <w:rPr/>
          </w:pPr>
          <w:r>
            <w:rPr/>
            <w:drawing>
              <wp:inline distB="0" distL="0" distR="0" distT="0">
                <wp:extent cx="685800" cy="695325"/>
                <wp:effectExtent b="0" l="0" r="0" t="0"/>
                <wp:docPr descr=""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" id="1" name="Picture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style0"/>
            <w:spacing w:after="0" w:before="0" w:line="100" w:lineRule="atLeast"/>
            <w:contextualSpacing w:val="false"/>
            <w:jc w:val="center"/>
            <w:rPr>
              <w:rFonts w:eastAsia="PMingLiU"/>
              <w:sz w:val="14"/>
              <w:szCs w:val="14"/>
            </w:rPr>
          </w:pPr>
          <w:r>
            <w:rPr>
              <w:rFonts w:eastAsia="PMingLiU"/>
              <w:sz w:val="14"/>
              <w:szCs w:val="14"/>
            </w:rPr>
            <w:t>SERVIÇO PÚBLICO</w:t>
          </w:r>
        </w:p>
        <w:p>
          <w:pPr>
            <w:pStyle w:val="style0"/>
            <w:spacing w:after="0" w:before="0" w:line="100" w:lineRule="atLeast"/>
            <w:contextualSpacing w:val="false"/>
            <w:jc w:val="center"/>
            <w:rPr>
              <w:rFonts w:eastAsia="PMingLiU"/>
              <w:sz w:val="14"/>
              <w:szCs w:val="14"/>
            </w:rPr>
          </w:pPr>
          <w:r>
            <w:rPr>
              <w:rFonts w:eastAsia="PMingLiU"/>
              <w:sz w:val="14"/>
              <w:szCs w:val="14"/>
            </w:rPr>
            <w:t>FEDERAL</w:t>
          </w:r>
        </w:p>
      </w:tc>
    </w:tr>
    <w:tr>
      <w:trPr>
        <w:trHeight w:hRule="atLeast" w:val="265"/>
        <w:cantSplit w:val="false"/>
      </w:trPr>
      <w:tc>
        <w:tcPr>
          <w:tcW w:type="dxa" w:w="2438"/>
          <w:vMerge w:val="continue"/>
          <w:tcBorders>
            <w:top w:val="nil"/>
            <w:left w:val="nil"/>
            <w:bottom w:val="nil"/>
            <w:right w:val="nil"/>
          </w:tcBorders>
          <w:shd w:fill="FFFFFF" w:val="clear"/>
          <w:vAlign w:val="center"/>
        </w:tcPr>
        <w:p>
          <w:pPr>
            <w:pStyle w:val="style0"/>
            <w:spacing w:after="0" w:before="0" w:line="100" w:lineRule="atLeast"/>
            <w:contextualSpacing w:val="false"/>
            <w:jc w:val="center"/>
            <w:rPr>
              <w:rFonts w:eastAsia="PMingLiU"/>
              <w:b/>
              <w:sz w:val="72"/>
              <w:szCs w:val="72"/>
            </w:rPr>
          </w:pPr>
          <w:r>
            <w:rPr>
              <w:rFonts w:eastAsia="PMingLiU"/>
              <w:b/>
              <w:sz w:val="72"/>
              <w:szCs w:val="72"/>
            </w:rPr>
          </w:r>
        </w:p>
      </w:tc>
      <w:tc>
        <w:tcPr>
          <w:tcW w:type="dxa" w:w="5829"/>
          <w:tcBorders>
            <w:top w:val="nil"/>
            <w:left w:val="nil"/>
            <w:bottom w:val="nil"/>
            <w:right w:val="nil"/>
          </w:tcBorders>
          <w:shd w:fill="FFFFFF" w:val="clear"/>
          <w:vAlign w:val="center"/>
        </w:tcPr>
        <w:p>
          <w:pPr>
            <w:pStyle w:val="style0"/>
            <w:spacing w:after="0" w:before="0" w:line="100" w:lineRule="atLeast"/>
            <w:contextualSpacing w:val="false"/>
            <w:jc w:val="center"/>
            <w:rPr>
              <w:rFonts w:eastAsia="PMingLiU"/>
              <w:szCs w:val="16"/>
            </w:rPr>
          </w:pPr>
          <w:r>
            <w:rPr>
              <w:rFonts w:eastAsia="PMingLiU"/>
              <w:szCs w:val="16"/>
            </w:rPr>
            <w:t>CENTRO DE CIÊNCIA E TECNOLOGIA EM ENERGIA E SUSTENTABILIDADE</w:t>
          </w:r>
        </w:p>
        <w:p>
          <w:pPr>
            <w:pStyle w:val="style0"/>
            <w:spacing w:after="0" w:before="0" w:line="100" w:lineRule="atLeast"/>
            <w:contextualSpacing w:val="false"/>
            <w:jc w:val="center"/>
            <w:rPr>
              <w:rFonts w:eastAsia="PMingLiU"/>
              <w:szCs w:val="16"/>
            </w:rPr>
          </w:pPr>
          <w:r>
            <w:rPr>
              <w:rFonts w:eastAsia="PMingLiU"/>
              <w:szCs w:val="16"/>
            </w:rPr>
            <w:t>COMITÊ DE MONITORIA</w:t>
          </w:r>
        </w:p>
      </w:tc>
      <w:tc>
        <w:tcPr>
          <w:tcW w:type="dxa" w:w="1479"/>
          <w:vMerge w:val="continue"/>
          <w:tcBorders>
            <w:top w:val="nil"/>
            <w:left w:val="nil"/>
            <w:bottom w:val="nil"/>
            <w:right w:val="nil"/>
          </w:tcBorders>
          <w:shd w:fill="FFFFFF" w:val="clear"/>
          <w:vAlign w:val="center"/>
        </w:tcPr>
        <w:p>
          <w:pPr>
            <w:pStyle w:val="style0"/>
            <w:spacing w:after="0" w:before="0" w:line="100" w:lineRule="atLeast"/>
            <w:contextualSpacing w:val="false"/>
            <w:jc w:val="center"/>
            <w:rPr>
              <w:rFonts w:eastAsia="PMingLiU"/>
              <w:b/>
              <w:sz w:val="32"/>
              <w:szCs w:val="72"/>
            </w:rPr>
          </w:pPr>
          <w:r>
            <w:rPr>
              <w:rFonts w:eastAsia="PMingLiU"/>
              <w:b/>
              <w:sz w:val="32"/>
              <w:szCs w:val="72"/>
            </w:rPr>
          </w:r>
        </w:p>
      </w:tc>
    </w:tr>
  </w:tbl>
  <w:p>
    <w:pPr>
      <w:pStyle w:val="style30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20" w:before="120" w:line="276" w:lineRule="auto"/>
      <w:contextualSpacing w:val="false"/>
      <w:jc w:val="both"/>
    </w:pPr>
    <w:rPr>
      <w:rFonts w:ascii="Calibri Light" w:cs="Times New Roman" w:eastAsia="Calibri" w:hAnsi="Calibri Light"/>
      <w:color w:val="00000A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>
      <w:rFonts w:ascii="Calibri Light" w:cs="Times New Roman" w:hAnsi="Calibri Light"/>
    </w:rPr>
  </w:style>
  <w:style w:styleId="style17" w:type="character">
    <w:name w:val="Rodapé Char"/>
    <w:basedOn w:val="style15"/>
    <w:next w:val="style17"/>
    <w:rPr>
      <w:rFonts w:ascii="Calibri Light" w:cs="Times New Roman" w:hAnsi="Calibri Light"/>
    </w:rPr>
  </w:style>
  <w:style w:styleId="style18" w:type="character">
    <w:name w:val="Texto de balão Char"/>
    <w:basedOn w:val="style15"/>
    <w:next w:val="style18"/>
    <w:rPr>
      <w:rFonts w:ascii="Segoe UI" w:cs="Segoe UI" w:hAnsi="Segoe UI"/>
      <w:sz w:val="18"/>
      <w:szCs w:val="18"/>
    </w:rPr>
  </w:style>
  <w:style w:styleId="style19" w:type="character">
    <w:name w:val="Link da Internet"/>
    <w:basedOn w:val="style15"/>
    <w:next w:val="style19"/>
    <w:rPr>
      <w:rFonts w:cs="Times New Roman"/>
      <w:color w:val="0563C1"/>
      <w:u w:val="single"/>
      <w:lang w:bidi="zxx-" w:eastAsia="zxx-" w:val="zxx-"/>
    </w:rPr>
  </w:style>
  <w:style w:styleId="style20" w:type="character">
    <w:name w:val="FollowedHyperlink"/>
    <w:basedOn w:val="style15"/>
    <w:next w:val="style20"/>
    <w:rPr>
      <w:color w:val="800080"/>
      <w:u w:val="single"/>
    </w:rPr>
  </w:style>
  <w:style w:styleId="style21" w:type="character">
    <w:name w:val="ListLabel 1"/>
    <w:next w:val="style21"/>
    <w:rPr>
      <w:rFonts w:cs="Times New Roman"/>
    </w:rPr>
  </w:style>
  <w:style w:styleId="style22" w:type="character">
    <w:name w:val="ListLabel 2"/>
    <w:next w:val="style22"/>
    <w:rPr>
      <w:rFonts w:cs="Times New Roman" w:eastAsia="Calibri"/>
    </w:rPr>
  </w:style>
  <w:style w:styleId="style23" w:type="character">
    <w:name w:val="ListLabel 3"/>
    <w:next w:val="style23"/>
    <w:rPr>
      <w:rFonts w:cs="Courier New"/>
    </w:rPr>
  </w:style>
  <w:style w:styleId="style24" w:type="paragraph">
    <w:name w:val="Título"/>
    <w:basedOn w:val="style0"/>
    <w:next w:val="style2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5" w:type="paragraph">
    <w:name w:val="Corpo do texto"/>
    <w:basedOn w:val="style0"/>
    <w:next w:val="style25"/>
    <w:pPr>
      <w:spacing w:after="120" w:before="0"/>
      <w:contextualSpacing w:val="false"/>
    </w:pPr>
    <w:rPr/>
  </w:style>
  <w:style w:styleId="style26" w:type="paragraph">
    <w:name w:val="Lista"/>
    <w:basedOn w:val="style25"/>
    <w:next w:val="style26"/>
    <w:pPr/>
    <w:rPr>
      <w:rFonts w:cs="Mangal"/>
    </w:rPr>
  </w:style>
  <w:style w:styleId="style27" w:type="paragraph">
    <w:name w:val="Legenda"/>
    <w:basedOn w:val="style0"/>
    <w:next w:val="style2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8" w:type="paragraph">
    <w:name w:val="Índice"/>
    <w:basedOn w:val="style0"/>
    <w:next w:val="style28"/>
    <w:pPr>
      <w:suppressLineNumbers/>
    </w:pPr>
    <w:rPr>
      <w:rFonts w:cs="Mangal"/>
    </w:rPr>
  </w:style>
  <w:style w:styleId="style29" w:type="paragraph">
    <w:name w:val="Normal (Web)"/>
    <w:basedOn w:val="style0"/>
    <w:next w:val="style29"/>
    <w:pPr>
      <w:spacing w:after="28" w:before="28" w:line="100" w:lineRule="atLeast"/>
      <w:contextualSpacing w:val="false"/>
    </w:pPr>
    <w:rPr>
      <w:rFonts w:ascii="Times New Roman" w:eastAsia="Times New Roman" w:hAnsi="Times New Roman"/>
      <w:sz w:val="24"/>
      <w:szCs w:val="24"/>
      <w:lang w:eastAsia="pt-BR"/>
    </w:rPr>
  </w:style>
  <w:style w:styleId="style30" w:type="paragraph">
    <w:name w:val="Cabeçalho"/>
    <w:basedOn w:val="style0"/>
    <w:next w:val="style30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31" w:type="paragraph">
    <w:name w:val="Rodapé"/>
    <w:basedOn w:val="style0"/>
    <w:next w:val="style31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32" w:type="paragraph">
    <w:name w:val="List Paragraph"/>
    <w:basedOn w:val="style0"/>
    <w:next w:val="style32"/>
    <w:pPr>
      <w:spacing w:after="120" w:before="120"/>
      <w:ind w:hanging="0" w:left="720" w:right="0"/>
      <w:contextualSpacing/>
    </w:pPr>
    <w:rPr/>
  </w:style>
  <w:style w:styleId="style33" w:type="paragraph">
    <w:name w:val="Balloon Text"/>
    <w:basedOn w:val="style0"/>
    <w:next w:val="style33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  <w:style w:styleId="style34" w:type="paragraph">
    <w:name w:val="Conteúdo do quadro"/>
    <w:basedOn w:val="style0"/>
    <w:next w:val="style3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frb.edu.br/conac/resolucoes-conac/category/5-2011?download=148:resolucao-no-072011" TargetMode="External"/><Relationship Id="rId3" Type="http://schemas.openxmlformats.org/officeDocument/2006/relationships/hyperlink" Target="http://www.ufrb.edu.br/conac/resolucoes-conac/category/4-2010?download=123:resolucao-no-362010" TargetMode="External"/><Relationship Id="rId4" Type="http://schemas.openxmlformats.org/officeDocument/2006/relationships/hyperlink" Target="http://www.ufrb.edu.br/conac/resolucoes-conac/category/2-2008?download=40:resolucao-no-072008" TargetMode="External"/><Relationship Id="rId5" Type="http://schemas.openxmlformats.org/officeDocument/2006/relationships/hyperlink" Target="http://www.ufrb.edu.br/cetens" TargetMode="External"/><Relationship Id="rId6" Type="http://schemas.openxmlformats.org/officeDocument/2006/relationships/hyperlink" Target="http://www.portal.ufrb.edu.br/PortalSagres/" TargetMode="External"/><Relationship Id="rId7" Type="http://schemas.openxmlformats.org/officeDocument/2006/relationships/hyperlink" Target="http://www.ufrb.edu.br/cetens" TargetMode="External"/><Relationship Id="rId8" Type="http://schemas.openxmlformats.org/officeDocument/2006/relationships/hyperlink" Target="http://www.ufrb.edu.br/cetens" TargetMode="External"/><Relationship Id="rId9" Type="http://schemas.openxmlformats.org/officeDocument/2006/relationships/hyperlink" Target="http://www.ufrb.edu.br/cetens" TargetMode="External"/><Relationship Id="rId10" Type="http://schemas.openxmlformats.org/officeDocument/2006/relationships/hyperlink" Target="http://www.ufrb.edu.br/cetens" TargetMode="External"/><Relationship Id="rId11" Type="http://schemas.openxmlformats.org/officeDocument/2006/relationships/hyperlink" Target="http://www.ufrb.edu.br/cetens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2015-06-08T13:06:00Z</dcterms:created>
  <dc:creator>Paulo Nascimento</dc:creator>
  <cp:lastModifiedBy>Jean Paulo dos Santos Carvalho</cp:lastModifiedBy>
  <cp:lastPrinted>2015-06-08T13:04:00Z</cp:lastPrinted>
  <dcterms:modified xsi:type="dcterms:W3CDTF">2015-06-08T13:25:00Z</dcterms:modified>
  <cp:revision>3</cp:revision>
  <dc:title>REABERTURA DO EDITAL N° 07/2014</dc:title>
</cp:coreProperties>
</file>